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7</w:t>
      </w:r>
    </w:p>
    <w:p>
      <w:pPr>
        <w:pStyle w:val="Subtitle"/>
      </w:pPr>
      <w:r>
        <w:t xml:space="preserve">Учёт</w:t>
      </w:r>
      <w:r>
        <w:t xml:space="preserve"> </w:t>
      </w:r>
      <w:r>
        <w:t xml:space="preserve">физических</w:t>
      </w:r>
      <w:r>
        <w:t xml:space="preserve"> </w:t>
      </w:r>
      <w:r>
        <w:t xml:space="preserve">параметров</w:t>
      </w:r>
      <w:r>
        <w:t xml:space="preserve"> </w:t>
      </w:r>
      <w:r>
        <w:t xml:space="preserve">сети</w:t>
      </w:r>
    </w:p>
    <w:p>
      <w:pPr>
        <w:pStyle w:val="Author"/>
      </w:pPr>
      <w:r>
        <w:t xml:space="preserve">Ланцова</w:t>
      </w:r>
      <w:r>
        <w:t xml:space="preserve"> </w:t>
      </w:r>
      <w:r>
        <w:t xml:space="preserve">Яна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работы с физической рабочей областью Packet Tracer, а также учесть физические параметры сети.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Требуется заменить соединение между коммутаторами двух территорий msk-donskaya-yalantsova-sw-1 и msk-pavlovskaya-yalantsova-sw-1 на соединение, учитывающее физические параметры сети, а именно — расстояние между двумя территориями.</w:t>
      </w:r>
    </w:p>
    <w:bookmarkEnd w:id="21"/>
    <w:bookmarkStart w:id="7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Откроем проект прошлой лабораторной работы(рис. 1).</w:t>
      </w:r>
    </w:p>
    <w:p>
      <w:pPr>
        <w:pStyle w:val="CaptionedFigure"/>
      </w:pPr>
      <w:bookmarkStart w:id="25" w:name="fig:001"/>
      <w:r>
        <w:drawing>
          <wp:inline>
            <wp:extent cx="5334000" cy="3804978"/>
            <wp:effectExtent b="0" l="0" r="0" t="0"/>
            <wp:docPr descr="Рис. 1: Схема сети без учёта физических параметров сети в логической рабочей области Packet Tracer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4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Схема сети без учёта физических параметров сети в логической рабочей области Packet Tracer</w:t>
      </w:r>
    </w:p>
    <w:p>
      <w:pPr>
        <w:pStyle w:val="BodyText"/>
      </w:pPr>
      <w:r>
        <w:t xml:space="preserve">Перейдем в физическую рабочую область Packet Tracer. Присвоим название городу – Moscow(рис. 2).</w:t>
      </w:r>
    </w:p>
    <w:p>
      <w:pPr>
        <w:pStyle w:val="CaptionedFigure"/>
      </w:pPr>
      <w:bookmarkStart w:id="29" w:name="fig:002"/>
      <w:r>
        <w:drawing>
          <wp:inline>
            <wp:extent cx="5334000" cy="5070733"/>
            <wp:effectExtent b="0" l="0" r="0" t="0"/>
            <wp:docPr descr="Рис. 2: Физическая рабочая область Packet Tracer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0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Физическая рабочая область Packet Tracer</w:t>
      </w:r>
    </w:p>
    <w:p>
      <w:pPr>
        <w:pStyle w:val="BodyText"/>
      </w:pPr>
      <w:r>
        <w:t xml:space="preserve">Щёлкнув на изображении города, увидим изображение здания. Присвоим ему название Donskaya. Добавим здание для территории Pavlovskaya(рис. 3).</w:t>
      </w:r>
    </w:p>
    <w:p>
      <w:pPr>
        <w:pStyle w:val="CaptionedFigure"/>
      </w:pPr>
      <w:bookmarkStart w:id="33" w:name="fig:003"/>
      <w:r>
        <w:drawing>
          <wp:inline>
            <wp:extent cx="5334000" cy="2745772"/>
            <wp:effectExtent b="0" l="0" r="0" t="0"/>
            <wp:docPr descr="Рис. 3: Изображение здания в физической рабочей области Packet Tracer (сеть территории «Донская»)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Изображение здания в физической рабочей области Packet Tracer (сеть территории «Донская»)</w:t>
      </w:r>
    </w:p>
    <w:p>
      <w:pPr>
        <w:pStyle w:val="BodyText"/>
      </w:pPr>
      <w:r>
        <w:t xml:space="preserve">Щёлкнув на изображении здания Donskaya, переместим изображение, обозначающее серверное помещение, в него(рис. 4).</w:t>
      </w:r>
    </w:p>
    <w:p>
      <w:pPr>
        <w:pStyle w:val="CaptionedFigure"/>
      </w:pPr>
      <w:bookmarkStart w:id="37" w:name="fig:004"/>
      <w:r>
        <w:drawing>
          <wp:inline>
            <wp:extent cx="5334000" cy="3866116"/>
            <wp:effectExtent b="0" l="0" r="0" t="0"/>
            <wp:docPr descr="Рис. 4: Пример размещения в физической рабочей области Packet Tracer серверной с подключением оконечных устройств (сеть территории «Донская»)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6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Пример размещения в физической рабочей области Packet Tracer серверной с подключением оконечных устройств (сеть территории «Донская»)</w:t>
      </w:r>
    </w:p>
    <w:p>
      <w:pPr>
        <w:pStyle w:val="BodyText"/>
      </w:pPr>
      <w:r>
        <w:t xml:space="preserve">Щёлкнув на изображении серверной, посмотрим отображение серверных стоек(рис. 5).</w:t>
      </w:r>
    </w:p>
    <w:p>
      <w:pPr>
        <w:pStyle w:val="CaptionedFigure"/>
      </w:pPr>
      <w:bookmarkStart w:id="41" w:name="fig:005"/>
      <w:r>
        <w:drawing>
          <wp:inline>
            <wp:extent cx="5334000" cy="6216783"/>
            <wp:effectExtent b="0" l="0" r="0" t="0"/>
            <wp:docPr descr="Рис. 5: Отображение серверных стоек в Packet Tracer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16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Отображение серверных стоек в Packet Tracer</w:t>
      </w:r>
    </w:p>
    <w:p>
      <w:pPr>
        <w:pStyle w:val="BodyText"/>
      </w:pPr>
      <w:r>
        <w:t xml:space="preserve">Переместим коммутатор msk-pavlovskaya-yalantsova-sw-1 и два оконечных устройства dk-pavlovskaya-yalantsova-1 и other-pavlovskaya-yalantsova-1 на территорию Pavlovskaya, используя меню Move физической рабочей области Packet Tracer (рис. 6).</w:t>
      </w:r>
    </w:p>
    <w:p>
      <w:pPr>
        <w:pStyle w:val="CaptionedFigure"/>
      </w:pPr>
      <w:bookmarkStart w:id="45" w:name="fig:006"/>
      <w:r>
        <w:drawing>
          <wp:inline>
            <wp:extent cx="5334000" cy="2098040"/>
            <wp:effectExtent b="0" l="0" r="0" t="0"/>
            <wp:docPr descr="Рис. 6: Перемещение устройств на территорию Pavlovskaya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Перемещение устройств на территорию Pavlovskaya</w:t>
      </w:r>
    </w:p>
    <w:p>
      <w:pPr>
        <w:pStyle w:val="BodyText"/>
      </w:pPr>
      <w:r>
        <w:t xml:space="preserve">Вернувшись в логическую рабочую область Packet Tracer, пропингуем с коммутатора msk-donskaya-yalantsova-sw-1 коммутатор msk-pavlovskaya-yalantsova-sw-1. Убедимся, что соединение работоспособно(рис. 7).</w:t>
      </w:r>
    </w:p>
    <w:p>
      <w:pPr>
        <w:pStyle w:val="CaptionedFigure"/>
      </w:pPr>
      <w:bookmarkStart w:id="49" w:name="fig:007"/>
      <w:r>
        <w:drawing>
          <wp:inline>
            <wp:extent cx="5334000" cy="5382786"/>
            <wp:effectExtent b="0" l="0" r="0" t="0"/>
            <wp:docPr descr="Рис. 7: Проверка работоспособности соединения между msk-donskaya-yalantsova-sw-1 и msk-pavlovskaya-yalantsova-sw-1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2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Проверка работоспособности соединения между msk-donskaya-yalantsova-sw-1 и msk-pavlovskaya-yalantsova-sw-1</w:t>
      </w:r>
    </w:p>
    <w:p>
      <w:pPr>
        <w:pStyle w:val="BodyText"/>
      </w:pPr>
      <w:r>
        <w:t xml:space="preserve">В меню Options, Preferences во вкладке Interface активируем разрешение на учёт физических характеристик среды передачи (Enable Cable Length Effects)(рис. 8).</w:t>
      </w:r>
    </w:p>
    <w:p>
      <w:pPr>
        <w:pStyle w:val="CaptionedFigure"/>
      </w:pPr>
      <w:bookmarkStart w:id="53" w:name="fig:008"/>
      <w:r>
        <w:drawing>
          <wp:inline>
            <wp:extent cx="5334000" cy="1955228"/>
            <wp:effectExtent b="0" l="0" r="0" t="0"/>
            <wp:docPr descr="Рис. 8: Активация разрешения на учёт физических характеристик среды передачи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5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Активация разрешения на учёт физических характеристик среды передачи</w:t>
      </w:r>
    </w:p>
    <w:p>
      <w:pPr>
        <w:pStyle w:val="BodyText"/>
      </w:pPr>
      <w:r>
        <w:t xml:space="preserve">В физической рабочей области Packet Tracer разместим две территории на расстоянии около 1000 м друг от друга(рис. 9).</w:t>
      </w:r>
    </w:p>
    <w:p>
      <w:pPr>
        <w:pStyle w:val="CaptionedFigure"/>
      </w:pPr>
      <w:bookmarkStart w:id="57" w:name="fig:009"/>
      <w:r>
        <w:drawing>
          <wp:inline>
            <wp:extent cx="5334000" cy="2850307"/>
            <wp:effectExtent b="0" l="0" r="0" t="0"/>
            <wp:docPr descr="Рис. 9: Размешение территорий на расстоянии около 1000 м друг от друга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0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Размешение территорий на расстоянии около 1000 м друг от друга</w:t>
      </w:r>
    </w:p>
    <w:p>
      <w:pPr>
        <w:pStyle w:val="BodyText"/>
      </w:pPr>
      <w:r>
        <w:t xml:space="preserve">Вернувшись в логическую рабочую область Packet Tracer, пропингуем с коммутатора msk-donskaya-yalantsova-sw-1 коммутатор msk-pavlovskaya-yalantsova-sw-1. Убедимся, что соединение не работает(рис. 10).</w:t>
      </w:r>
    </w:p>
    <w:p>
      <w:pPr>
        <w:pStyle w:val="CaptionedFigure"/>
      </w:pPr>
      <w:bookmarkStart w:id="61" w:name="fig:010"/>
      <w:r>
        <w:drawing>
          <wp:inline>
            <wp:extent cx="5334000" cy="1206614"/>
            <wp:effectExtent b="0" l="0" r="0" t="0"/>
            <wp:docPr descr="Рис. 10: Проверка неработоспособности соединения между msk-donskaya-yalantsova-sw-1 и msk-pavlovskaya-yalantsova-sw-1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6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Проверка неработоспособности соединения между msk-donskaya-yalantsova-sw-1 и msk-pavlovskaya-yalantsova-sw-1</w:t>
      </w:r>
    </w:p>
    <w:p>
      <w:pPr>
        <w:pStyle w:val="BodyText"/>
      </w:pPr>
      <w:r>
        <w:t xml:space="preserve">Удалим соединение между msk-donskaya-sw-1 и msk-pavlovskaya-sw-1. Добавим в логическую рабочую область два повторителя (Repeater-PT). Присвоим им соответствующие названия msk-donskaya-yalantsova-mc-1 и msk-pavlovskaya-yalantsova-mc-1. Заменим имеющиеся модули на PT-REPEATER-NM-1FFE и PT-REPEATER-NM-1CFE для подключения оптоволокна и витой пары по технологии Fast Ethernet(рис. 11).</w:t>
      </w:r>
    </w:p>
    <w:p>
      <w:pPr>
        <w:pStyle w:val="CaptionedFigure"/>
      </w:pPr>
      <w:bookmarkStart w:id="65" w:name="fig:011"/>
      <w:r>
        <w:drawing>
          <wp:inline>
            <wp:extent cx="5334000" cy="2160763"/>
            <wp:effectExtent b="0" l="0" r="0" t="0"/>
            <wp:docPr descr="Рис. 11: Замена модулей на репиторах для подключения оптоволокна и витой пары по технологии Fast Ethernet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0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Замена модулей на репиторах для подключения оптоволокна и витой пары по технологии Fast Ethernet</w:t>
      </w:r>
    </w:p>
    <w:p>
      <w:pPr>
        <w:pStyle w:val="BodyText"/>
      </w:pPr>
      <w:r>
        <w:t xml:space="preserve">Переместим msk-pavlovskaya-mc-1 на территорию Pavlovskaya (в физичекой рабочей области Packet Tracer).</w:t>
      </w:r>
    </w:p>
    <w:p>
      <w:pPr>
        <w:pStyle w:val="BodyText"/>
      </w:pPr>
      <w:r>
        <w:t xml:space="preserve">Подключим коммутатор msk-donskaya-yalantsova-sw-1 к msk-donskaya-yalantsova-mc-1 по витой паре, msk-donskaya-yalantsova-mc-1 и msk-pavlovskaya-yalantsova-mc-1 – по оптоволокну, msk-pavlovskaya-yalantsova-sw-1 к msk-pavlovskaya-yalantsova-mc-1 – по витой паре(рис. 12).</w:t>
      </w:r>
    </w:p>
    <w:p>
      <w:pPr>
        <w:pStyle w:val="CaptionedFigure"/>
      </w:pPr>
      <w:bookmarkStart w:id="69" w:name="fig:012"/>
      <w:r>
        <w:drawing>
          <wp:inline>
            <wp:extent cx="5334000" cy="2924868"/>
            <wp:effectExtent b="0" l="0" r="0" t="0"/>
            <wp:docPr descr="Рис. 12: Схема сети c учётом физических параметров сети в логической рабочей области Packet Tracer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4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Схема сети c учётом физических параметров сети в логической рабочей области Packet Tracer</w:t>
      </w:r>
    </w:p>
    <w:p>
      <w:pPr>
        <w:pStyle w:val="BodyText"/>
      </w:pPr>
      <w:r>
        <w:t xml:space="preserve">Перенесем репитор с Донской на Павловскую(рис. 13).</w:t>
      </w:r>
    </w:p>
    <w:p>
      <w:pPr>
        <w:pStyle w:val="CaptionedFigure"/>
      </w:pPr>
      <w:bookmarkStart w:id="73" w:name="fig:013"/>
      <w:r>
        <w:drawing>
          <wp:inline>
            <wp:extent cx="5334000" cy="2329917"/>
            <wp:effectExtent b="0" l="0" r="0" t="0"/>
            <wp:docPr descr="Рис. 13: Перенос репитора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9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Перенос репитора</w:t>
      </w:r>
    </w:p>
    <w:p>
      <w:pPr>
        <w:pStyle w:val="BodyText"/>
      </w:pPr>
      <w:r>
        <w:t xml:space="preserve">Убедимся в работоспособности соединения междуmsk-donskaya-yalantsova-sw-1 и msk-pavlovskaya-yalantsova-sw-1(рис. 14).</w:t>
      </w:r>
    </w:p>
    <w:p>
      <w:pPr>
        <w:pStyle w:val="CaptionedFigure"/>
      </w:pPr>
      <w:bookmarkStart w:id="77" w:name="fig:014"/>
      <w:r>
        <w:drawing>
          <wp:inline>
            <wp:extent cx="5334000" cy="978089"/>
            <wp:effectExtent b="0" l="0" r="0" t="0"/>
            <wp:docPr descr="Рис. 14: Проверка работоспособности соединения между msk-donskaya-yalantsova-sw-1 и msk-pavlovskaya-yalantsova-sw-1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8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Проверка работоспособности соединения между msk-donskaya-yalantsova-sw-1 и msk-pavlovskaya-yalantsova-sw-1</w:t>
      </w:r>
    </w:p>
    <w:bookmarkEnd w:id="78"/>
    <w:bookmarkStart w:id="7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получили навыки работы с физической рабочей областью Packet Tracer, а также учесть физические параметры сети.</w:t>
      </w:r>
    </w:p>
    <w:bookmarkEnd w:id="79"/>
    <w:bookmarkStart w:id="80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1"/>
        </w:numPr>
      </w:pPr>
      <w:r>
        <w:t xml:space="preserve">Перечислите возможные среды передачи данных. На какие характеристики</w:t>
      </w:r>
      <w:r>
        <w:t xml:space="preserve"> </w:t>
      </w:r>
      <w:r>
        <w:t xml:space="preserve">среды передачи данных следует обращать внимание при планировании</w:t>
      </w:r>
      <w:r>
        <w:t xml:space="preserve"> </w:t>
      </w:r>
      <w:r>
        <w:t xml:space="preserve">сети?</w:t>
      </w:r>
    </w:p>
    <w:p>
      <w:pPr>
        <w:numPr>
          <w:ilvl w:val="0"/>
          <w:numId w:val="1001"/>
        </w:numPr>
      </w:pPr>
      <w:r>
        <w:t xml:space="preserve">Перечислите категории витой пары. Чем они отличаются? Какая категория</w:t>
      </w:r>
      <w:r>
        <w:t xml:space="preserve"> </w:t>
      </w:r>
      <w:r>
        <w:t xml:space="preserve">в каких условиях может применяться?</w:t>
      </w:r>
    </w:p>
    <w:p>
      <w:pPr>
        <w:numPr>
          <w:ilvl w:val="0"/>
          <w:numId w:val="1001"/>
        </w:numPr>
      </w:pPr>
      <w:r>
        <w:t xml:space="preserve">В чем отличие одномодового и многомодового оптоволокна? Какой тип</w:t>
      </w:r>
      <w:r>
        <w:t xml:space="preserve"> </w:t>
      </w:r>
      <w:r>
        <w:t xml:space="preserve">кабеля в каких условиях может применяться?</w:t>
      </w:r>
    </w:p>
    <w:p>
      <w:pPr>
        <w:numPr>
          <w:ilvl w:val="0"/>
          <w:numId w:val="1001"/>
        </w:numPr>
      </w:pPr>
      <w:r>
        <w:t xml:space="preserve">Какие разъёмы встречаются на патчах оптоволокна? Чем они отличаются?</w:t>
      </w:r>
    </w:p>
    <w:p>
      <w:pPr>
        <w:numPr>
          <w:ilvl w:val="0"/>
          <w:numId w:val="1001"/>
        </w:numPr>
      </w:pPr>
      <w:r>
        <w:t xml:space="preserve">Среды передачи данных: проводная (витая пара, коаксиальный кабель, оптоволокно), беспроводная (Wi-Fi, Bluetooth, сотовая связь). При планировании сети следует обращать внимание на пропускную способность каналов передачи данных, задержку (латентность), надежность соединения, уровень шума и помех, а также возможность интерференции сигналов.</w:t>
      </w:r>
    </w:p>
    <w:p>
      <w:pPr>
        <w:numPr>
          <w:ilvl w:val="0"/>
          <w:numId w:val="1001"/>
        </w:numPr>
      </w:pPr>
      <w:r>
        <w:t xml:space="preserve">Категории витой пары: Cat5, Cat6, Cat6a, Cat7. Они отличаются пропускной способностью и дальностью передачи. Cat5 подходит для домашних сетей, Cat6 для офисов, Cat6a и Cat7 для высокоскоростных сетей.</w:t>
      </w:r>
    </w:p>
    <w:p>
      <w:pPr>
        <w:numPr>
          <w:ilvl w:val="0"/>
          <w:numId w:val="1001"/>
        </w:numPr>
      </w:pPr>
      <w:r>
        <w:t xml:space="preserve">Одномодовое оптоволокно передает свет в одном направлении, многомодовое - в нескольких. Одномодовое используется на большие расстояния, многомодовое - на короткие.</w:t>
      </w:r>
    </w:p>
    <w:p>
      <w:pPr>
        <w:numPr>
          <w:ilvl w:val="0"/>
          <w:numId w:val="1001"/>
        </w:numPr>
      </w:pPr>
      <w:r>
        <w:t xml:space="preserve">Разъемы на патчах оптоволокна: LC, SC, ST. Они различаются по типу соединения. LC - для высокоскоростных сетей, SC и ST - для обычных сетей.</w:t>
      </w:r>
    </w:p>
    <w:bookmarkEnd w:id="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7</dc:title>
  <dc:creator>Ланцова Яна Игоревна</dc:creator>
  <dc:language>ru-RU</dc:language>
  <cp:keywords/>
  <dcterms:created xsi:type="dcterms:W3CDTF">2025-03-29T08:01:17Z</dcterms:created>
  <dcterms:modified xsi:type="dcterms:W3CDTF">2025-03-29T08:01:17Z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Учёт физических параметров сети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